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团体标准《康复机构学龄前孤独症儿童康复服务规范》</w:t>
      </w:r>
    </w:p>
    <w:p>
      <w:pPr>
        <w:jc w:val="center"/>
        <w:rPr>
          <w:rFonts w:ascii="黑体" w:hAnsi="黑体" w:eastAsia="黑体" w:cs="黑体"/>
          <w:bCs/>
          <w:sz w:val="36"/>
          <w:szCs w:val="36"/>
        </w:rPr>
      </w:pPr>
      <w:r>
        <w:rPr>
          <w:rFonts w:hint="eastAsia" w:ascii="黑体" w:hAnsi="黑体" w:eastAsia="黑体" w:cs="黑体"/>
          <w:bCs/>
          <w:color w:val="000000"/>
          <w:sz w:val="36"/>
          <w:szCs w:val="36"/>
        </w:rPr>
        <w:t>（征求意见稿）编制说明</w:t>
      </w:r>
    </w:p>
    <w:p>
      <w:pPr>
        <w:pStyle w:val="12"/>
        <w:numPr>
          <w:ilvl w:val="0"/>
          <w:numId w:val="5"/>
        </w:numPr>
        <w:adjustRightInd w:val="0"/>
        <w:snapToGrid w:val="0"/>
        <w:spacing w:line="360" w:lineRule="auto"/>
        <w:ind w:firstLineChars="0"/>
        <w:rPr>
          <w:rFonts w:ascii="黑体" w:hAnsi="黑体" w:eastAsia="黑体" w:cs="黑体"/>
          <w:bCs/>
          <w:sz w:val="32"/>
          <w:szCs w:val="32"/>
        </w:rPr>
      </w:pPr>
      <w:r>
        <w:rPr>
          <w:rFonts w:hint="eastAsia" w:ascii="黑体" w:hAnsi="黑体" w:eastAsia="黑体" w:cs="黑体"/>
          <w:bCs/>
          <w:sz w:val="32"/>
          <w:szCs w:val="32"/>
        </w:rPr>
        <w:t>项目来源</w:t>
      </w:r>
    </w:p>
    <w:p>
      <w:pPr>
        <w:spacing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关于下达2021年第三批团体标准制修订项目计划的通知》（桂标协﹝2021﹞12号）文件精神，由南宁儿童康复中心提出，南宁儿童康复中心、中国残疾人康复协会残疾分类研究专业委员会、中国心理学会康复心理学专业委员会共同起草的团体标准《康复机构学龄前孤独症儿童功能评估规范》(项目编号：2021-0302)</w:t>
      </w:r>
      <w:bookmarkStart w:id="1" w:name="_GoBack"/>
      <w:bookmarkEnd w:id="1"/>
      <w:r>
        <w:rPr>
          <w:rFonts w:hint="eastAsia" w:ascii="仿宋_GB2312" w:hAnsi="宋体" w:eastAsia="仿宋_GB2312"/>
          <w:sz w:val="28"/>
          <w:szCs w:val="28"/>
          <w:lang w:val="zh-CN"/>
        </w:rPr>
        <w:t>。</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项目背景及目的意义</w:t>
      </w:r>
    </w:p>
    <w:p>
      <w:pPr>
        <w:pStyle w:val="28"/>
        <w:spacing w:after="0"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孤独症（ASD）是一种广泛性脑功能发育障碍，其基本特征为社会交往障碍、语言发展障碍、兴趣狭窄及行为刻板。孤独症儿童的养护和教育难度大，直接影响着几百万个家庭的正常工作和生活，有上千万个家人为之担心和忧虑，已引起国际社会的高度关注。根据中共中央、国务院《“健康中国2030”规划纲要》、国务院《关于促进健康服务业发展的若干意见》、国务院办公厅《关于推进分级诊疗制度建设的指导意见》等要求部署，卫生健康部门依托各级各类康复医疗机构为残疾患者提供康复医疗服务；中国残联重点加强对残疾儿童康复救助，开展听力语言康复、残疾人精准康复等工作推进；民政部实施康复辅具应用推广工作。《“十三五”加快残疾人小康进程规划纲要》中提出逐步实现0～6岁视力、听力、言语、智力、</w:t>
      </w:r>
      <w:r>
        <w:fldChar w:fldCharType="begin"/>
      </w:r>
      <w:r>
        <w:instrText xml:space="preserve"> HYPERLINK "https://baike.sogou.com/lemma/ShowInnerLink.htm?lemmaId=63320799&amp;ss_c=ssc.citiao.link" \t "_blank" </w:instrText>
      </w:r>
      <w:r>
        <w:fldChar w:fldCharType="separate"/>
      </w:r>
      <w:r>
        <w:rPr>
          <w:rFonts w:hint="eastAsia" w:ascii="仿宋_GB2312" w:hAnsi="宋体" w:eastAsia="仿宋_GB2312"/>
          <w:sz w:val="28"/>
          <w:szCs w:val="28"/>
          <w:lang w:val="zh-CN"/>
        </w:rPr>
        <w:t>肢体残疾儿童</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和</w:t>
      </w:r>
      <w:r>
        <w:fldChar w:fldCharType="begin"/>
      </w:r>
      <w:r>
        <w:instrText xml:space="preserve"> HYPERLINK "https://baike.sogou.com/lemma/ShowInnerLink.htm?lemmaId=64469279&amp;ss_c=ssc.citiao.link" \t "_blank" </w:instrText>
      </w:r>
      <w:r>
        <w:fldChar w:fldCharType="separate"/>
      </w:r>
      <w:r>
        <w:rPr>
          <w:rFonts w:hint="eastAsia" w:ascii="仿宋_GB2312" w:hAnsi="宋体" w:eastAsia="仿宋_GB2312"/>
          <w:sz w:val="28"/>
          <w:szCs w:val="28"/>
          <w:lang w:val="zh-CN"/>
        </w:rPr>
        <w:t>孤独症</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儿童免费得到手术、辅助器具适配和康复训练等服务。《未成年人保护法》、《残疾人教育条例》提出“积极推进融合教育”、“优先采取普通教育方式”，意味着适龄的孤独症儿童、少年经过康复后可以转入或者升入普通学校接受义务教育。《儿童福利机构管理办法》、《残疾预防和残疾人康复条例》等以法规的形式明确了国家、社会、公民在残疾预防和残疾人康复工作中的责任，为实现残疾人“人人享有康复服务”的目标提供有力保障，对孤独症群体的康复服务提供了强有力的支持。</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业内专家普遍认为我国孤独症患病率为1％左右，14岁以下患病青少年数量超过200万人，孤独症总人口超过1000万人。随着孤独症患病率不断提高，以及国家对残疾人事业和民生的高度重视，孤独症康复教育引起社会广泛关注，相关康复教育机构不断发展，规模不断扩张。截至2020年底，广西行政区域内共有残疾人康复机构423个，其中185个可提供智力残疾康复服务，98个可提供精神残疾康复服务，98个可提供孤独症儿童康复服务。康复机构在岗人员9476人，其中，管理人员1075人，专业技术人员6365人，其他人员2036人。</w:t>
      </w:r>
      <w:r>
        <w:rPr>
          <w:rFonts w:ascii="仿宋_GB2312" w:hAnsi="宋体" w:eastAsia="仿宋_GB2312"/>
          <w:sz w:val="28"/>
          <w:szCs w:val="28"/>
          <w:lang w:val="zh-CN"/>
        </w:rPr>
        <w:t>由于病因未明，孤独症没有特效药物治疗，主要依靠特殊教育和康复手段进行干预，早期诊断、早期干预可以改善孤独症的预后，年龄越小、干预效果越好。</w:t>
      </w:r>
      <w:r>
        <w:rPr>
          <w:rFonts w:hint="eastAsia" w:ascii="仿宋_GB2312" w:hAnsi="宋体" w:eastAsia="仿宋_GB2312"/>
          <w:sz w:val="28"/>
          <w:szCs w:val="28"/>
          <w:lang w:val="zh-CN"/>
        </w:rPr>
        <w:t>目前孤独症康复网络基本形成，服务机构数量急剧增加，但广西孤独症儿童康复机构还未设有统一的服务标准及评价规范，服务发展不平衡、不充分，康复训练方法和治疗水平良莠不齐，给孤独症儿童康复训练带给诸多困难。</w:t>
      </w:r>
      <w:r>
        <w:rPr>
          <w:rFonts w:ascii="仿宋_GB2312" w:hAnsi="宋体" w:eastAsia="仿宋_GB2312"/>
          <w:sz w:val="28"/>
          <w:szCs w:val="28"/>
          <w:lang w:val="zh-CN"/>
        </w:rPr>
        <w:t>目前，国内在孤独症康复教育方面越来越重视，相关康复教育机构不断发展，规模不断扩张。</w:t>
      </w:r>
      <w:r>
        <w:rPr>
          <w:rFonts w:hint="eastAsia" w:ascii="仿宋_GB2312" w:hAnsi="宋体" w:eastAsia="仿宋_GB2312"/>
          <w:sz w:val="28"/>
          <w:szCs w:val="28"/>
          <w:lang w:val="zh-CN"/>
        </w:rPr>
        <w:t>各种康复手段的介入有助于解决这些基本问题，阻止障碍的继续发展，减轻其影响，提高他们自理能力，帮助他们顺利适应或回归社会。据研究，孤独症的黄金康复年龄是2～6岁,此时的儿童大脑发育未成熟，有很多可变的机会和重新塑造的可能。结合当下儿童康复机构孤独症儿童康复训练实际，早日制定相关服务质量及评价的标准，进一步规范孤独症儿童机构建设和质量控制，加强管理，使广大的孤独症儿童能够得到及时有效、高质量的康复训练，帮助孤独症儿童早日融入社会迫在眉睫。</w:t>
      </w:r>
    </w:p>
    <w:p>
      <w:pPr>
        <w:autoSpaceDE w:val="0"/>
        <w:autoSpaceDN w:val="0"/>
        <w:adjustRightInd w:val="0"/>
        <w:spacing w:line="600" w:lineRule="exact"/>
        <w:ind w:firstLine="560" w:firstLineChars="200"/>
        <w:jc w:val="left"/>
        <w:rPr>
          <w:rFonts w:ascii="仿宋_GB2312" w:hAnsi="宋体" w:eastAsia="仿宋_GB2312"/>
          <w:sz w:val="28"/>
          <w:szCs w:val="28"/>
          <w:lang w:val="zh-CN"/>
        </w:rPr>
      </w:pPr>
      <w:r>
        <w:rPr>
          <w:rFonts w:hint="eastAsia" w:ascii="仿宋_GB2312" w:hAnsi="宋体" w:eastAsia="仿宋_GB2312"/>
          <w:sz w:val="28"/>
          <w:szCs w:val="28"/>
          <w:lang w:val="zh-CN"/>
        </w:rPr>
        <w:t>通过制定团体标准《康复机构学龄前孤独症儿童康复服务规范》，以标准为抓手，统一规范康复机构学龄前孤独症儿童康复服务的</w:t>
      </w:r>
      <w:r>
        <w:rPr>
          <w:rFonts w:hint="eastAsia" w:ascii="仿宋_GB2312" w:hAnsi="宋体" w:eastAsia="仿宋_GB2312"/>
          <w:sz w:val="28"/>
          <w:szCs w:val="28"/>
        </w:rPr>
        <w:t>术语和定义、场所要求、环境要求、人员要求、安全要求、服务原则、康复训练服务流程、服务内容、质量控制及档案管理</w:t>
      </w:r>
      <w:r>
        <w:rPr>
          <w:rFonts w:hint="eastAsia" w:ascii="仿宋_GB2312" w:hAnsi="宋体" w:eastAsia="仿宋_GB2312"/>
          <w:sz w:val="28"/>
          <w:szCs w:val="28"/>
          <w:lang w:val="zh-CN"/>
        </w:rPr>
        <w:t>等要求，用标准化和规范化将更好的指导康复机构孤独症儿童康复工作，对促进康复机构工作职能社会化、精细化、效益化发展，有助于完善康复机构标准化体系，促进完善广西民政系统依据标准制定相关配套的政策法规，尽快建立统一完善的智力残疾儿童康复工作质量管理监督体系，对促进康复机构孤独症儿童康复服务专业化具有重要意义。</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标准编制过程</w:t>
      </w:r>
    </w:p>
    <w:p>
      <w:pPr>
        <w:adjustRightInd w:val="0"/>
        <w:snapToGrid w:val="0"/>
        <w:spacing w:beforeLines="50" w:line="360" w:lineRule="auto"/>
        <w:ind w:left="504"/>
        <w:rPr>
          <w:rFonts w:ascii="黑体" w:hAnsi="黑体" w:eastAsia="黑体" w:cs="黑体"/>
          <w:bCs/>
          <w:sz w:val="32"/>
          <w:szCs w:val="32"/>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康复机构学龄前孤独症儿童康复服务规范</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南宁儿童康复中心、中国残疾人康复协会残疾分类研究专业委员会、中国心理学会康复心理学专业委员会</w:t>
      </w:r>
      <w:r>
        <w:rPr>
          <w:rFonts w:hint="eastAsia" w:ascii="仿宋_GB2312" w:hAnsi="宋体" w:eastAsia="仿宋_GB2312"/>
          <w:sz w:val="28"/>
          <w:szCs w:val="28"/>
        </w:rPr>
        <w:t>相关人员配合。</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标准编制工作组收集了国内有关康复机构学龄前孤独症儿童康复服务相关文献资料。主要有：</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MZ/T 010《儿童福利机构基本规范》</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DB45/T 1927</w:t>
      </w:r>
      <w:r>
        <w:rPr>
          <w:rFonts w:hint="eastAsia" w:ascii="仿宋_GB2312" w:hAnsi="宋体" w:eastAsia="仿宋_GB2312" w:cs="Calibri"/>
          <w:sz w:val="28"/>
          <w:szCs w:val="28"/>
        </w:rPr>
        <w:t>《儿童福利机构康复服务规范》</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 xml:space="preserve">T/CARD 001—2020 </w:t>
      </w:r>
      <w:r>
        <w:rPr>
          <w:rFonts w:hint="eastAsia" w:ascii="仿宋_GB2312" w:hAnsi="宋体" w:eastAsia="仿宋_GB2312" w:cs="Calibri"/>
          <w:sz w:val="28"/>
          <w:szCs w:val="28"/>
        </w:rPr>
        <w:t>《孤独症</w:t>
      </w:r>
      <w:r>
        <w:rPr>
          <w:rFonts w:ascii="仿宋_GB2312" w:hAnsi="宋体" w:eastAsia="仿宋_GB2312" w:cs="Calibri"/>
          <w:sz w:val="28"/>
          <w:szCs w:val="28"/>
        </w:rPr>
        <w:t>儿童康复服务</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T/CARD 003-2020</w:t>
      </w:r>
      <w:r>
        <w:rPr>
          <w:rFonts w:hint="eastAsia" w:ascii="仿宋_GB2312" w:hAnsi="宋体" w:eastAsia="仿宋_GB2312" w:cs="Calibri"/>
          <w:sz w:val="28"/>
          <w:szCs w:val="28"/>
        </w:rPr>
        <w:t>《脑性瘫痪儿童康复服务》</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T/CARD 004-2020</w:t>
      </w:r>
      <w:r>
        <w:rPr>
          <w:rFonts w:hint="eastAsia" w:ascii="仿宋_GB2312" w:hAnsi="宋体" w:eastAsia="仿宋_GB2312" w:cs="Calibri"/>
          <w:sz w:val="28"/>
          <w:szCs w:val="28"/>
        </w:rPr>
        <w:t>《智力残疾康复服务》</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DB11/T 1377.2《</w:t>
      </w:r>
      <w:r>
        <w:rPr>
          <w:rFonts w:ascii="仿宋_GB2312" w:hAnsi="宋体" w:eastAsia="仿宋_GB2312" w:cs="Calibri"/>
          <w:sz w:val="28"/>
          <w:szCs w:val="28"/>
        </w:rPr>
        <w:t>残障儿童康复机构服务规范 第2部分：孤独症儿童康复机构</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王玉龙.康复功能评定学第2版[M].人民卫生出版社.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李晓捷.实用儿童康复医学第2版[M].人民卫生出版社.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李晓捷.儿童康复学[M].人民卫生出版社.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吴庆连.康复医学科管理规范与操作常规[M].中国协和医科大学出版社</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hint="eastAsia" w:ascii="仿宋_GB2312" w:hAnsi="宋体" w:eastAsia="仿宋_GB2312"/>
          <w:sz w:val="32"/>
          <w:szCs w:val="32"/>
          <w:lang w:val="zh-CN" w:eastAsia="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w:t>
      </w:r>
      <w:r>
        <w:rPr>
          <w:rFonts w:hint="eastAsia" w:ascii="仿宋_GB2312" w:hAnsi="宋体" w:eastAsia="仿宋_GB2312"/>
          <w:sz w:val="28"/>
          <w:szCs w:val="28"/>
          <w:highlight w:val="none"/>
        </w:rPr>
        <w:t>。经过研究，标准的主体内容确定为术语和定义、场所</w:t>
      </w:r>
      <w:r>
        <w:rPr>
          <w:rFonts w:hint="eastAsia" w:ascii="仿宋_GB2312" w:hAnsi="宋体" w:eastAsia="仿宋_GB2312"/>
          <w:sz w:val="28"/>
          <w:szCs w:val="28"/>
          <w:highlight w:val="none"/>
          <w:lang w:val="en-US" w:eastAsia="zh-CN"/>
        </w:rPr>
        <w:t>和环境</w:t>
      </w:r>
      <w:r>
        <w:rPr>
          <w:rFonts w:hint="eastAsia" w:ascii="仿宋_GB2312" w:hAnsi="宋体" w:eastAsia="仿宋_GB2312"/>
          <w:sz w:val="28"/>
          <w:szCs w:val="28"/>
          <w:highlight w:val="none"/>
        </w:rPr>
        <w:t>要求、</w:t>
      </w:r>
      <w:r>
        <w:rPr>
          <w:rFonts w:hint="eastAsia" w:ascii="仿宋_GB2312" w:hAnsi="宋体" w:eastAsia="仿宋_GB2312"/>
          <w:sz w:val="28"/>
          <w:szCs w:val="28"/>
          <w:highlight w:val="none"/>
          <w:lang w:val="en-US" w:eastAsia="zh-CN"/>
        </w:rPr>
        <w:t>设备</w:t>
      </w:r>
      <w:r>
        <w:rPr>
          <w:rFonts w:hint="eastAsia" w:ascii="仿宋_GB2312" w:hAnsi="宋体" w:eastAsia="仿宋_GB2312"/>
          <w:sz w:val="28"/>
          <w:szCs w:val="28"/>
          <w:highlight w:val="none"/>
        </w:rPr>
        <w:t>要求、</w:t>
      </w:r>
      <w:r>
        <w:rPr>
          <w:rFonts w:hint="eastAsia" w:ascii="仿宋_GB2312" w:hAnsi="宋体" w:eastAsia="仿宋_GB2312"/>
          <w:sz w:val="28"/>
          <w:szCs w:val="28"/>
          <w:highlight w:val="none"/>
          <w:lang w:val="en-US" w:eastAsia="zh-CN"/>
        </w:rPr>
        <w:t>人员要求、安全要求、记录要求、服务原则、服务流程、服务内容、质量控制和档案管理的</w:t>
      </w:r>
      <w:r>
        <w:rPr>
          <w:rFonts w:hint="eastAsia" w:ascii="仿宋_GB2312" w:hAnsi="宋体" w:eastAsia="仿宋_GB2312"/>
          <w:sz w:val="28"/>
          <w:szCs w:val="28"/>
          <w:highlight w:val="none"/>
        </w:rPr>
        <w:t>要求</w:t>
      </w:r>
      <w:r>
        <w:rPr>
          <w:rFonts w:hint="eastAsia" w:ascii="仿宋_GB2312" w:hAnsi="宋体" w:eastAsia="仿宋_GB2312"/>
          <w:sz w:val="28"/>
          <w:szCs w:val="28"/>
          <w:highlight w:val="none"/>
          <w:lang w:eastAsia="zh-CN"/>
        </w:rPr>
        <w:t>。</w:t>
      </w:r>
    </w:p>
    <w:p>
      <w:pPr>
        <w:spacing w:line="60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（四）调研、形成文本草案、征求意见稿</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1月-2月，标准起草工作组召开了第一次工作会议。会议上进一步明确了团体标准起草工作要求，就标准的基本框架及内容进行了充分讨论，研究了标准宣贯教材的编写工作并对工作组成员分工、工作进度及时限要求作了具体安排。于2021年2月申请立项，2月26日根据广西标准化协会《关于下达2021年第三批团体标准制定项目计划的通知》，批准立项</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3月，标准起草工作小组进行了广泛实地调研工作，查阅了大量的国内外文献资料，对康复机构学龄前孤独症儿童康复服务的前人研究成果进行系统总结。形成了标准的基本构架，对主要内容进行了讨论并对项目的工作进行了部署和安排。</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同时，在前期工作的基础之上，通过理清逻辑脉络，整合已有的参考资料中有关康复机构学龄前孤独症儿童康复服务要求，并结合康复机构学龄前孤独症康复服务要求的基础上，按照简化、统一等原则编制完成团体标准《康复机构学龄前孤独症儿童康复服务规范》（草案）。</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4月～5月，深入国内、区内涉及康复机构孤独症儿童康复服务的有代表性的医疗机构针对康复机构孤独症儿童康复服务情况进行分组实地调研学习。通过实地调研，掌握各地方关于康复机构孤独症儿童康复服务的具体要求。并实际征求意见，通过收集反馈了大量意见，标准编制工作组多次召开会议，对标准草案进行了反复修改和研究讨论。最终形成了团体标准《康复机构学龄前孤独症儿童康复服务规范》（征求意见稿）和（征求意见稿）编制说明。</w:t>
      </w:r>
    </w:p>
    <w:p>
      <w:pPr>
        <w:autoSpaceDE w:val="0"/>
        <w:autoSpaceDN w:val="0"/>
        <w:adjustRightInd w:val="0"/>
        <w:spacing w:beforeLines="50" w:afterLines="50" w:line="52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1、实用性原则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本文件是在充分收集相关资料和文献，分析康复机构学龄前孤独症儿童康复服务当前现状，调研区内康复机构孤独症儿童康复服务技术情况</w:t>
      </w:r>
      <w:r>
        <w:rPr>
          <w:rFonts w:hint="eastAsia"/>
          <w:sz w:val="28"/>
          <w:szCs w:val="28"/>
        </w:rPr>
        <w:t>，</w:t>
      </w:r>
      <w:r>
        <w:rPr>
          <w:rFonts w:hint="eastAsia" w:ascii="仿宋_GB2312" w:hAnsi="宋体" w:eastAsia="仿宋_GB2312"/>
          <w:sz w:val="28"/>
          <w:szCs w:val="28"/>
        </w:rPr>
        <w:t>在现有国家、行业标准相关康复机构孤独症儿童康复服务要求的基础上，结合南宁儿童康复中心多年的康复机构孤独症儿童康复服务经验而总结起草的。符合当前康复机构学龄前孤独症儿童康复服务发展的方向与需求，更好的确保康复机构学龄前孤独症儿童的康复服务质量，对不断提升康复机构学龄前孤独症儿童康复服务具有积极意义。</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2、协调性原则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本文件编写过程中注意了</w:t>
      </w:r>
      <w:r>
        <w:rPr>
          <w:rFonts w:hint="eastAsia" w:ascii="仿宋_GB2312" w:hAnsi="宋体" w:eastAsia="仿宋_GB2312"/>
          <w:sz w:val="28"/>
          <w:szCs w:val="28"/>
        </w:rPr>
        <w:t>康复机构学龄前孤独症儿童康复服务</w:t>
      </w:r>
      <w:r>
        <w:rPr>
          <w:rFonts w:hint="eastAsia" w:ascii="仿宋_GB2312" w:hAnsi="宋体" w:eastAsia="仿宋_GB2312"/>
          <w:sz w:val="28"/>
          <w:szCs w:val="28"/>
          <w:lang w:val="zh-CN"/>
        </w:rPr>
        <w:t>要求与相关法律法规的协调问题，在内容上与现行法律法规、标准协调一致。</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3、规范性原则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本文件严格按照GB/T 1.1—2020《标准化工作导则 第1部分：标准的结构和编写》的要求和规定编写本标准的内容，保证标准的编写质量。</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4、前瞻性原则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康复机构学龄前孤独症儿童康复服务现实情况的同时，还考虑到了康复机构孤独症儿童康复服务发展趋势和需要，在标准中体现了个别特色性、前瞻性和先进性条款，作为对康复机构孤独症儿童康复服务的指导。</w:t>
      </w:r>
    </w:p>
    <w:p>
      <w:pPr>
        <w:pStyle w:val="12"/>
        <w:numPr>
          <w:ilvl w:val="0"/>
          <w:numId w:val="6"/>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团体标准《康复机构学龄前孤独症儿童康复服务规范》主要内容包括</w:t>
      </w:r>
      <w:r>
        <w:rPr>
          <w:rFonts w:hint="eastAsia" w:ascii="仿宋_GB2312" w:hAnsi="宋体" w:eastAsia="仿宋_GB2312"/>
          <w:sz w:val="28"/>
          <w:szCs w:val="28"/>
          <w:highlight w:val="none"/>
        </w:rPr>
        <w:t>术语和定义、场所和环境要求、安全要求、设备要求、人员要求、记录要求、服务原则、服务流程、服务内容、质量控制和档案管理的要求</w:t>
      </w:r>
      <w:r>
        <w:rPr>
          <w:rFonts w:hint="eastAsia" w:ascii="仿宋_GB2312" w:hAnsi="宋体" w:eastAsia="仿宋_GB2312"/>
          <w:sz w:val="28"/>
          <w:szCs w:val="28"/>
          <w:lang w:val="zh-CN"/>
        </w:rPr>
        <w:t>。</w:t>
      </w:r>
    </w:p>
    <w:p>
      <w:pPr>
        <w:ind w:firstLine="562" w:firstLineChars="200"/>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1术语和定义</w:t>
      </w:r>
    </w:p>
    <w:p>
      <w:pPr>
        <w:ind w:firstLine="562" w:firstLineChars="200"/>
        <w:rPr>
          <w:rFonts w:hint="default" w:ascii="仿宋_GB2312" w:hAnsi="宋体" w:eastAsia="仿宋_GB2312"/>
          <w:sz w:val="28"/>
          <w:szCs w:val="28"/>
          <w:lang w:val="en-US" w:eastAsia="zh-CN"/>
        </w:rPr>
      </w:pPr>
      <w:r>
        <w:rPr>
          <w:rFonts w:hint="eastAsia" w:ascii="仿宋_GB2312" w:hAnsi="宋体" w:eastAsia="仿宋_GB2312"/>
          <w:b/>
          <w:sz w:val="28"/>
          <w:szCs w:val="28"/>
        </w:rPr>
        <w:t>术语和定义</w:t>
      </w:r>
      <w:r>
        <w:rPr>
          <w:rFonts w:hint="eastAsia" w:ascii="仿宋_GB2312" w:hAnsi="宋体" w:eastAsia="仿宋_GB2312"/>
          <w:sz w:val="28"/>
          <w:szCs w:val="28"/>
        </w:rPr>
        <w:t>主要由智力残疾儿童的特点、康复服务采取的方式和需要达到的最终效果确定。</w:t>
      </w:r>
    </w:p>
    <w:p>
      <w:pPr>
        <w:ind w:firstLine="562" w:firstLineChars="200"/>
        <w:rPr>
          <w:rFonts w:hint="eastAsia" w:ascii="仿宋_GB2312" w:hAnsi="宋体" w:eastAsia="仿宋_GB2312"/>
          <w:sz w:val="28"/>
          <w:szCs w:val="28"/>
          <w:lang w:val="zh-CN"/>
        </w:rPr>
      </w:pPr>
      <w:r>
        <w:rPr>
          <w:rFonts w:hint="eastAsia" w:ascii="仿宋_GB2312" w:hAnsi="宋体" w:eastAsia="仿宋_GB2312"/>
          <w:b/>
          <w:bCs/>
          <w:sz w:val="28"/>
          <w:szCs w:val="28"/>
          <w:lang w:val="zh-CN"/>
        </w:rPr>
        <w:t>孤独症：</w:t>
      </w:r>
      <w:r>
        <w:rPr>
          <w:rFonts w:hint="eastAsia" w:ascii="仿宋_GB2312" w:hAnsi="宋体" w:eastAsia="仿宋_GB2312"/>
          <w:sz w:val="28"/>
          <w:szCs w:val="28"/>
          <w:lang w:val="zh-CN"/>
        </w:rPr>
        <w:t>也称谱系障碍综合征，又称自闭症，一类起病于3岁前，以社会交往障碍、沟通障碍和局限性、刻板性、重复性行为为主要特征的心理发展障碍。</w:t>
      </w:r>
    </w:p>
    <w:p>
      <w:pPr>
        <w:ind w:firstLine="562" w:firstLineChars="200"/>
        <w:rPr>
          <w:rFonts w:hint="eastAsia" w:ascii="仿宋_GB2312" w:hAnsi="宋体" w:eastAsia="仿宋_GB2312"/>
          <w:sz w:val="28"/>
          <w:szCs w:val="28"/>
          <w:lang w:val="zh-CN"/>
        </w:rPr>
      </w:pPr>
      <w:r>
        <w:rPr>
          <w:rFonts w:hint="eastAsia" w:ascii="仿宋_GB2312" w:hAnsi="宋体" w:eastAsia="仿宋_GB2312"/>
          <w:b/>
          <w:bCs/>
          <w:sz w:val="28"/>
          <w:szCs w:val="28"/>
          <w:lang w:val="zh-CN"/>
        </w:rPr>
        <w:t>《国际功能、残疾和健康分类》（ICF）：</w:t>
      </w:r>
      <w:r>
        <w:rPr>
          <w:rFonts w:hint="eastAsia" w:ascii="仿宋_GB2312" w:hAnsi="宋体" w:eastAsia="仿宋_GB2312"/>
          <w:sz w:val="28"/>
          <w:szCs w:val="28"/>
          <w:lang w:val="zh-CN"/>
        </w:rPr>
        <w:t>WHO分类家族（FIC）的成员之一，是健康和健康相关领域的分类，国际通用的在个人和人群层面上测量健康和残疾的理论框架，世卫组织所有成员国均认可为描述和测量健康和残疾的国际标准。</w:t>
      </w:r>
    </w:p>
    <w:p>
      <w:pPr>
        <w:ind w:firstLine="562" w:firstLineChars="200"/>
        <w:rPr>
          <w:rFonts w:hint="default"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2场所、环境和人员要求</w:t>
      </w:r>
    </w:p>
    <w:p>
      <w:pPr>
        <w:ind w:firstLine="562" w:firstLineChars="200"/>
        <w:rPr>
          <w:rFonts w:hint="eastAsia" w:ascii="仿宋_GB2312" w:hAnsi="宋体" w:eastAsia="仿宋_GB2312"/>
          <w:sz w:val="28"/>
          <w:szCs w:val="28"/>
        </w:rPr>
      </w:pPr>
      <w:r>
        <w:rPr>
          <w:rFonts w:hint="eastAsia" w:ascii="仿宋_GB2312" w:eastAsia="仿宋_GB2312"/>
          <w:b/>
          <w:sz w:val="28"/>
          <w:szCs w:val="28"/>
        </w:rPr>
        <w:t>场所要求、评估环境</w:t>
      </w:r>
      <w:r>
        <w:rPr>
          <w:rFonts w:hint="eastAsia" w:ascii="仿宋_GB2312" w:eastAsia="仿宋_GB2312"/>
          <w:sz w:val="28"/>
          <w:szCs w:val="28"/>
        </w:rPr>
        <w:t>的设置应对学龄前孤独症儿童的康复起到促</w:t>
      </w:r>
      <w:r>
        <w:rPr>
          <w:rFonts w:hint="eastAsia" w:ascii="仿宋_GB2312" w:hAnsi="宋体" w:eastAsia="仿宋_GB2312"/>
          <w:sz w:val="28"/>
          <w:szCs w:val="28"/>
        </w:rPr>
        <w:t>进作用，并且配备相应的测试室、评估室等，</w:t>
      </w:r>
      <w:r>
        <w:rPr>
          <w:rFonts w:ascii="仿宋_GB2312" w:hAnsi="宋体" w:eastAsia="仿宋_GB2312"/>
          <w:sz w:val="28"/>
          <w:szCs w:val="28"/>
        </w:rPr>
        <w:t>公共信息图形符号和安全标识应符合GB/T 10001.1、GB/T 10001.9的要求</w:t>
      </w:r>
      <w:r>
        <w:rPr>
          <w:rFonts w:hint="eastAsia" w:ascii="仿宋_GB2312" w:hAnsi="宋体" w:eastAsia="仿宋_GB2312"/>
          <w:sz w:val="28"/>
          <w:szCs w:val="28"/>
        </w:rPr>
        <w:t>，室内环境空气质量、声环境等应达到相应的标准。</w:t>
      </w:r>
      <w:r>
        <w:rPr>
          <w:rFonts w:hint="eastAsia" w:ascii="仿宋_GB2312" w:hAnsi="宋体" w:eastAsia="仿宋_GB2312"/>
          <w:b/>
          <w:sz w:val="28"/>
          <w:szCs w:val="28"/>
        </w:rPr>
        <w:t>安全要求</w:t>
      </w:r>
      <w:r>
        <w:rPr>
          <w:rFonts w:hint="eastAsia" w:ascii="仿宋_GB2312" w:hAnsi="宋体" w:eastAsia="仿宋_GB2312"/>
          <w:sz w:val="28"/>
          <w:szCs w:val="28"/>
        </w:rPr>
        <w:t>考虑到了特殊儿童的不便之处并提出相应的条款，</w:t>
      </w:r>
      <w:r>
        <w:rPr>
          <w:rFonts w:hint="eastAsia" w:ascii="仿宋_GB2312" w:hAnsi="宋体" w:eastAsia="仿宋_GB2312"/>
          <w:b/>
          <w:sz w:val="28"/>
          <w:szCs w:val="28"/>
        </w:rPr>
        <w:t>消防安全标志</w:t>
      </w:r>
      <w:r>
        <w:rPr>
          <w:rFonts w:hint="eastAsia" w:ascii="仿宋_GB2312" w:hAnsi="宋体" w:eastAsia="仿宋_GB2312"/>
          <w:sz w:val="28"/>
          <w:szCs w:val="28"/>
        </w:rPr>
        <w:t>应符合GB 13495.1的要求，消防安全标志设置及使用应符合GB 15630、GB 2894的要求。康复机构的人员组成应包括业务管理人员和专业康复团队，并对相关人员的资质进行了要求：康复医师：应具备相应执业资格，可独立完成相关诊疗康复工作，熟悉及能够使用常用评定量表。康复治疗师：应具有专科以上学历，具有康复、医疗、教育、心理或护理等专业背景，且应具备省级以上康复从业人员上岗资格。护士：应具备相应执业资格，可独立完成相关儿童康复护理工作。社会工作者：应具备有社会工作者职业资格，或接受过肢体残疾儿童康复专业培训并获得合格证。教师：应具有专科以上学历，具有教育类或康复专业背景，且具有教育行政部门认可的教师资格。</w:t>
      </w:r>
    </w:p>
    <w:p>
      <w:pPr>
        <w:ind w:firstLine="562" w:firstLineChars="200"/>
        <w:rPr>
          <w:rFonts w:hint="default"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3服务原则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_GB2312" w:hAnsi="宋体" w:eastAsia="仿宋_GB2312"/>
          <w:sz w:val="28"/>
          <w:szCs w:val="28"/>
          <w:lang w:val="zh-CN"/>
        </w:rPr>
      </w:pPr>
      <w:r>
        <w:rPr>
          <w:rFonts w:hint="eastAsia" w:ascii="仿宋_GB2312" w:hAnsi="宋体" w:eastAsia="仿宋_GB2312"/>
          <w:sz w:val="28"/>
          <w:szCs w:val="28"/>
          <w:lang w:val="zh-CN"/>
        </w:rPr>
        <w:t>ICF是一种设计用于不同学科和不同行业的多目的性的分类，是用来记录儿童和青少年健康和功能的特点。ICF提供一种理论架构、通用的语言和术语来记录婴儿、儿童和青少年的身体功能和结构、活动受限、参与局限和重要的环境因素等方面表现出的问题，用于定义和记录儿童青少年健康、功能和发展。本项目运用ICF“生物-心理-社会”模式，结合孤独症儿童身体功能、身体结构、活动与参与、个人因素和环境因素，作为统计工具、研究工具、教育工具制定出孤独症儿童档案管理的相关规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_GB2312" w:hAnsi="宋体" w:eastAsia="仿宋_GB2312"/>
          <w:sz w:val="28"/>
          <w:szCs w:val="28"/>
          <w:lang w:val="zh-CN"/>
        </w:rPr>
      </w:pPr>
      <w:r>
        <w:rPr>
          <w:rFonts w:hint="eastAsia" w:ascii="仿宋_GB2312" w:hAnsi="宋体" w:eastAsia="仿宋_GB2312"/>
          <w:sz w:val="28"/>
          <w:szCs w:val="28"/>
          <w:lang w:val="en-US" w:eastAsia="zh-CN"/>
        </w:rPr>
        <w:t>原则内容主要包括：</w:t>
      </w:r>
      <w:r>
        <w:rPr>
          <w:rFonts w:hint="eastAsia" w:ascii="仿宋_GB2312" w:hAnsi="宋体" w:eastAsia="仿宋_GB2312"/>
          <w:sz w:val="28"/>
          <w:szCs w:val="28"/>
          <w:lang w:val="zh-CN"/>
        </w:rPr>
        <w:t>早期发现、早期干预、综合性康复、与日常生活相结合应把康复训练内容与日常生活相结合、康复机构训练与家庭训练相结合</w:t>
      </w:r>
      <w:r>
        <w:rPr>
          <w:rFonts w:hint="eastAsia" w:ascii="仿宋_GB2312" w:hAnsi="宋体" w:eastAsia="仿宋_GB2312"/>
          <w:sz w:val="28"/>
          <w:szCs w:val="28"/>
          <w:lang w:val="en-US" w:eastAsia="zh-CN"/>
        </w:rPr>
        <w:t>及</w:t>
      </w:r>
      <w:r>
        <w:rPr>
          <w:rFonts w:hint="eastAsia" w:ascii="仿宋_GB2312" w:hAnsi="宋体" w:eastAsia="仿宋_GB2312"/>
          <w:sz w:val="28"/>
          <w:szCs w:val="28"/>
          <w:lang w:val="zh-CN"/>
        </w:rPr>
        <w:t>个别化训练。</w:t>
      </w:r>
    </w:p>
    <w:p>
      <w:pPr>
        <w:numPr>
          <w:ilvl w:val="0"/>
          <w:numId w:val="0"/>
        </w:numPr>
        <w:jc w:val="center"/>
      </w:pPr>
      <w:r>
        <w:drawing>
          <wp:inline distT="0" distB="0" distL="0" distR="0">
            <wp:extent cx="4154805" cy="2190750"/>
            <wp:effectExtent l="0" t="0" r="5715" b="3810"/>
            <wp:docPr id="3" name="图片 1" descr="C:\Users\ADMINI~1\AppData\Local\Temp\WeChat Files\50fbdf3d45c5b6d42a67daddf11a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1\AppData\Local\Temp\WeChat Files\50fbdf3d45c5b6d42a67daddf11ae53.png"/>
                    <pic:cNvPicPr>
                      <a:picLocks noChangeAspect="1" noChangeArrowheads="1"/>
                    </pic:cNvPicPr>
                  </pic:nvPicPr>
                  <pic:blipFill>
                    <a:blip r:embed="rId4" cstate="print"/>
                    <a:srcRect/>
                    <a:stretch>
                      <a:fillRect/>
                    </a:stretch>
                  </pic:blipFill>
                  <pic:spPr>
                    <a:xfrm>
                      <a:off x="0" y="0"/>
                      <a:ext cx="4157666" cy="2192376"/>
                    </a:xfrm>
                    <a:prstGeom prst="rect">
                      <a:avLst/>
                    </a:prstGeom>
                    <a:noFill/>
                    <a:ln w="9525">
                      <a:noFill/>
                      <a:miter lim="800000"/>
                      <a:headEnd/>
                      <a:tailEnd/>
                    </a:ln>
                  </pic:spPr>
                </pic:pic>
              </a:graphicData>
            </a:graphic>
          </wp:inline>
        </w:drawing>
      </w:r>
    </w:p>
    <w:p>
      <w:pPr>
        <w:pStyle w:val="29"/>
        <w:spacing w:before="120" w:after="120"/>
      </w:pPr>
      <w:r>
        <w:rPr>
          <w:rFonts w:hint="eastAsia"/>
        </w:rPr>
        <w:t>ICF生物-心理-社会模式图</w:t>
      </w:r>
    </w:p>
    <w:p>
      <w:pPr>
        <w:ind w:firstLine="560" w:firstLineChars="200"/>
        <w:rPr>
          <w:rFonts w:hint="eastAsia" w:ascii="仿宋_GB2312" w:hAnsi="宋体" w:eastAsia="仿宋_GB2312"/>
          <w:b/>
          <w:sz w:val="28"/>
          <w:szCs w:val="28"/>
        </w:rPr>
      </w:pPr>
      <w:r>
        <w:rPr>
          <w:rFonts w:hint="eastAsia" w:ascii="仿宋_GB2312" w:hAnsi="宋体" w:eastAsia="仿宋_GB2312"/>
          <w:sz w:val="28"/>
          <w:szCs w:val="28"/>
        </w:rPr>
        <w:t>4</w:t>
      </w:r>
      <w:r>
        <w:rPr>
          <w:rFonts w:hint="eastAsia" w:ascii="仿宋_GB2312" w:hAnsi="宋体" w:eastAsia="仿宋_GB2312"/>
          <w:b/>
          <w:sz w:val="28"/>
          <w:szCs w:val="28"/>
        </w:rPr>
        <w:t>服务内容</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转介服务从智力功能、社会适应、生活实践三方面进行评估，判断</w:t>
      </w:r>
      <w:r>
        <w:rPr>
          <w:rFonts w:hint="eastAsia" w:ascii="仿宋_GB2312" w:hAnsi="宋体" w:eastAsia="仿宋_GB2312"/>
          <w:sz w:val="28"/>
          <w:szCs w:val="28"/>
          <w:lang w:val="en-US" w:eastAsia="zh-CN"/>
        </w:rPr>
        <w:t>孤独症</w:t>
      </w:r>
      <w:r>
        <w:rPr>
          <w:rFonts w:hint="eastAsia" w:ascii="仿宋_GB2312" w:hAnsi="宋体" w:eastAsia="仿宋_GB2312"/>
          <w:sz w:val="28"/>
          <w:szCs w:val="28"/>
        </w:rPr>
        <w:t>儿童是否已经具备相关的能力，并依据此为其提供相应的转介服务。</w:t>
      </w:r>
      <w:r>
        <w:rPr>
          <w:rFonts w:hint="eastAsia" w:ascii="仿宋_GB2312" w:hAnsi="宋体" w:eastAsia="仿宋_GB2312"/>
          <w:b/>
          <w:sz w:val="28"/>
          <w:szCs w:val="28"/>
        </w:rPr>
        <w:t>功能评估管理</w:t>
      </w:r>
      <w:r>
        <w:rPr>
          <w:rFonts w:hint="eastAsia" w:ascii="仿宋_GB2312" w:hAnsi="宋体" w:eastAsia="仿宋_GB2312"/>
          <w:sz w:val="28"/>
          <w:szCs w:val="28"/>
        </w:rPr>
        <w:t>全面地总结了孤独症儿童康复评估管理要求、过程要求以及应用到的ICF工具。</w:t>
      </w:r>
      <w:r>
        <w:rPr>
          <w:rFonts w:hint="eastAsia" w:ascii="仿宋_GB2312" w:hAnsi="宋体" w:eastAsia="仿宋_GB2312"/>
          <w:b/>
          <w:sz w:val="28"/>
          <w:szCs w:val="28"/>
        </w:rPr>
        <w:t>档案管理</w:t>
      </w:r>
      <w:r>
        <w:rPr>
          <w:rFonts w:hint="eastAsia" w:ascii="仿宋_GB2312" w:hAnsi="宋体" w:eastAsia="仿宋_GB2312"/>
          <w:sz w:val="28"/>
          <w:szCs w:val="28"/>
        </w:rPr>
        <w:t>参照相应的特殊儿童档案管理对孤独症儿童的康复评估档案进行归档。</w:t>
      </w:r>
    </w:p>
    <w:p>
      <w:pPr>
        <w:numPr>
          <w:ilvl w:val="0"/>
          <w:numId w:val="0"/>
        </w:numPr>
        <w:jc w:val="center"/>
      </w:pPr>
      <w:r>
        <w:drawing>
          <wp:inline distT="0" distB="0" distL="0" distR="0">
            <wp:extent cx="5180965" cy="3951605"/>
            <wp:effectExtent l="0" t="0" r="635" b="10795"/>
            <wp:docPr id="6" name="图片 5" descr="C:\Users\ADMINI~1\AppData\Local\Temp\WeChat Files\3cf1ffa642e2c2a02adf8c7229b6a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C:\Users\ADMINI~1\AppData\Local\Temp\WeChat Files\3cf1ffa642e2c2a02adf8c7229b6a83.png"/>
                    <pic:cNvPicPr>
                      <a:picLocks noChangeAspect="1" noChangeArrowheads="1"/>
                    </pic:cNvPicPr>
                  </pic:nvPicPr>
                  <pic:blipFill>
                    <a:blip r:embed="rId5" cstate="print"/>
                    <a:srcRect/>
                    <a:stretch>
                      <a:fillRect/>
                    </a:stretch>
                  </pic:blipFill>
                  <pic:spPr>
                    <a:xfrm>
                      <a:off x="0" y="0"/>
                      <a:ext cx="5185152" cy="3954886"/>
                    </a:xfrm>
                    <a:prstGeom prst="rect">
                      <a:avLst/>
                    </a:prstGeom>
                    <a:noFill/>
                    <a:ln w="9525">
                      <a:noFill/>
                      <a:miter lim="800000"/>
                      <a:headEnd/>
                      <a:tailEnd/>
                    </a:ln>
                  </pic:spPr>
                </pic:pic>
              </a:graphicData>
            </a:graphic>
          </wp:inline>
        </w:drawing>
      </w:r>
    </w:p>
    <w:p>
      <w:pPr>
        <w:pStyle w:val="29"/>
        <w:spacing w:before="120" w:after="120"/>
      </w:pPr>
      <w:r>
        <w:rPr>
          <w:rFonts w:hint="eastAsia"/>
        </w:rPr>
        <w:t>基于ICF的孤独症儿童康复训练流程图</w:t>
      </w:r>
    </w:p>
    <w:p>
      <w:pPr>
        <w:pStyle w:val="12"/>
        <w:numPr>
          <w:ilvl w:val="0"/>
          <w:numId w:val="6"/>
        </w:numPr>
        <w:adjustRightInd w:val="0"/>
        <w:snapToGrid w:val="0"/>
        <w:spacing w:beforeLines="50" w:line="360" w:lineRule="auto"/>
        <w:ind w:firstLineChars="0"/>
        <w:rPr>
          <w:rFonts w:ascii="黑体" w:hAnsi="黑体" w:eastAsia="黑体" w:cs="黑体"/>
          <w:bCs/>
          <w:sz w:val="32"/>
          <w:szCs w:val="32"/>
          <w:lang w:val="zh-CN"/>
        </w:rPr>
      </w:pPr>
      <w:r>
        <w:rPr>
          <w:rFonts w:hint="eastAsia" w:ascii="黑体" w:hAnsi="黑体" w:eastAsia="黑体" w:cs="黑体"/>
          <w:bCs/>
          <w:sz w:val="32"/>
          <w:szCs w:val="32"/>
          <w:lang w:val="zh-CN"/>
        </w:rPr>
        <w:t>国内外同类标准制修订情况及与法律法规、强制性标准关系</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经查阅，国内与孤独症儿童康复服务相关的国家标准、行业标准、地方标准及团体标准有：MZ/T 010《儿童福利机构基本规范》、DB45/T 1927《儿童福利机构康复服务规范》、T/CARD 001—2020 《孤独症儿童康复服务》、DB11/T 1377.2《残障儿童康复机构服务规范 第2部分：孤独症儿童康复机构》。</w:t>
      </w:r>
      <w:r>
        <w:rPr>
          <w:rFonts w:hint="eastAsia" w:ascii="仿宋_GB2312" w:hAnsi="仿宋" w:eastAsia="仿宋_GB2312"/>
          <w:bCs/>
          <w:color w:val="000000"/>
          <w:kern w:val="0"/>
          <w:sz w:val="28"/>
          <w:szCs w:val="28"/>
        </w:rPr>
        <w:t>以上标准主要针对孤独症儿童康复机构的康复服务原则、服务要求、支持条件和质量控制做出了要求，缺乏基于ICF理念下对影响孤独症儿童康复训练的可能影响因素进行规范梳理，且未有一个基于ICF理论下针对儿童康复机构孤独症儿童康复训练规范做出重点、精细的内容限定，不能精准地指导儿童康复机构中孤独症儿童康复训练实际工作。</w:t>
      </w:r>
    </w:p>
    <w:p>
      <w:pPr>
        <w:spacing w:line="600" w:lineRule="exact"/>
        <w:ind w:firstLine="560" w:firstLineChars="200"/>
        <w:rPr>
          <w:rFonts w:ascii="仿宋_GB2312" w:hAnsi="宋体" w:eastAsia="仿宋_GB2312"/>
          <w:sz w:val="28"/>
          <w:szCs w:val="28"/>
        </w:rPr>
      </w:pP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adjustRightInd w:val="0"/>
        <w:snapToGrid w:val="0"/>
        <w:spacing w:beforeLines="50" w:line="360" w:lineRule="auto"/>
        <w:ind w:left="505"/>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outlineLvl w:val="0"/>
        <w:rPr>
          <w:rFonts w:ascii="仿宋_GB2312" w:hAnsi="宋体" w:eastAsia="仿宋_GB2312"/>
          <w:sz w:val="28"/>
          <w:szCs w:val="28"/>
          <w:lang w:val="zh-CN"/>
        </w:rPr>
      </w:pPr>
      <w:r>
        <w:rPr>
          <w:rFonts w:hint="eastAsia" w:ascii="仿宋_GB2312" w:hAnsi="宋体" w:eastAsia="仿宋_GB2312"/>
          <w:sz w:val="28"/>
          <w:szCs w:val="28"/>
          <w:lang w:val="zh-CN"/>
        </w:rPr>
        <w:t xml:space="preserve">             团体标准 《康复机构学龄前孤独症儿童康复服务规范》</w:t>
      </w:r>
    </w:p>
    <w:p>
      <w:pPr>
        <w:spacing w:line="520" w:lineRule="exact"/>
        <w:ind w:firstLine="5180" w:firstLineChars="18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r>
        <w:rPr>
          <w:rFonts w:hint="eastAsia" w:ascii="仿宋_GB2312" w:hAnsi="宋体" w:eastAsia="仿宋_GB2312"/>
          <w:sz w:val="28"/>
          <w:szCs w:val="28"/>
        </w:rPr>
        <w:t>05</w:t>
      </w:r>
      <w:r>
        <w:rPr>
          <w:rFonts w:hint="eastAsia" w:ascii="仿宋_GB2312" w:hAnsi="宋体" w:eastAsia="仿宋_GB2312"/>
          <w:sz w:val="28"/>
          <w:szCs w:val="28"/>
          <w:lang w:val="zh-CN"/>
        </w:rPr>
        <w:t>月</w:t>
      </w:r>
      <w:r>
        <w:rPr>
          <w:rFonts w:hint="eastAsia" w:ascii="仿宋_GB2312" w:hAnsi="宋体" w:eastAsia="仿宋_GB2312"/>
          <w:sz w:val="28"/>
          <w:szCs w:val="28"/>
        </w:rPr>
        <w:t>18日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24174A8"/>
    <w:multiLevelType w:val="multilevel"/>
    <w:tmpl w:val="124174A8"/>
    <w:lvl w:ilvl="0" w:tentative="0">
      <w:start w:val="1"/>
      <w:numFmt w:val="japaneseCounting"/>
      <w:lvlText w:val="%1、"/>
      <w:lvlJc w:val="left"/>
      <w:pPr>
        <w:ind w:left="1224" w:hanging="720"/>
      </w:pPr>
      <w:rPr>
        <w:rFonts w:hint="default"/>
      </w:rPr>
    </w:lvl>
    <w:lvl w:ilvl="1" w:tentative="0">
      <w:start w:val="1"/>
      <w:numFmt w:val="lowerLetter"/>
      <w:lvlText w:val="%2)"/>
      <w:lvlJc w:val="left"/>
      <w:pPr>
        <w:ind w:left="1344" w:hanging="420"/>
      </w:pPr>
    </w:lvl>
    <w:lvl w:ilvl="2" w:tentative="0">
      <w:start w:val="1"/>
      <w:numFmt w:val="lowerRoman"/>
      <w:lvlText w:val="%3."/>
      <w:lvlJc w:val="right"/>
      <w:pPr>
        <w:ind w:left="1764" w:hanging="420"/>
      </w:pPr>
    </w:lvl>
    <w:lvl w:ilvl="3" w:tentative="0">
      <w:start w:val="1"/>
      <w:numFmt w:val="decimal"/>
      <w:lvlText w:val="%4."/>
      <w:lvlJc w:val="left"/>
      <w:pPr>
        <w:ind w:left="2184" w:hanging="420"/>
      </w:pPr>
    </w:lvl>
    <w:lvl w:ilvl="4" w:tentative="0">
      <w:start w:val="1"/>
      <w:numFmt w:val="lowerLetter"/>
      <w:lvlText w:val="%5)"/>
      <w:lvlJc w:val="left"/>
      <w:pPr>
        <w:ind w:left="2604" w:hanging="420"/>
      </w:pPr>
    </w:lvl>
    <w:lvl w:ilvl="5" w:tentative="0">
      <w:start w:val="1"/>
      <w:numFmt w:val="lowerRoman"/>
      <w:lvlText w:val="%6."/>
      <w:lvlJc w:val="right"/>
      <w:pPr>
        <w:ind w:left="3024" w:hanging="420"/>
      </w:pPr>
    </w:lvl>
    <w:lvl w:ilvl="6" w:tentative="0">
      <w:start w:val="1"/>
      <w:numFmt w:val="decimal"/>
      <w:lvlText w:val="%7."/>
      <w:lvlJc w:val="left"/>
      <w:pPr>
        <w:ind w:left="3444" w:hanging="420"/>
      </w:pPr>
    </w:lvl>
    <w:lvl w:ilvl="7" w:tentative="0">
      <w:start w:val="1"/>
      <w:numFmt w:val="lowerLetter"/>
      <w:lvlText w:val="%8)"/>
      <w:lvlJc w:val="left"/>
      <w:pPr>
        <w:ind w:left="3864" w:hanging="420"/>
      </w:pPr>
    </w:lvl>
    <w:lvl w:ilvl="8" w:tentative="0">
      <w:start w:val="1"/>
      <w:numFmt w:val="lowerRoman"/>
      <w:lvlText w:val="%9."/>
      <w:lvlJc w:val="right"/>
      <w:pPr>
        <w:ind w:left="4284" w:hanging="420"/>
      </w:pPr>
    </w:lvl>
  </w:abstractNum>
  <w:abstractNum w:abstractNumId="2">
    <w:nsid w:val="20494293"/>
    <w:multiLevelType w:val="multilevel"/>
    <w:tmpl w:val="20494293"/>
    <w:lvl w:ilvl="0" w:tentative="0">
      <w:start w:val="5"/>
      <w:numFmt w:val="japaneseCounting"/>
      <w:lvlText w:val="%1、"/>
      <w:lvlJc w:val="left"/>
      <w:pPr>
        <w:ind w:left="1225" w:hanging="720"/>
      </w:pPr>
      <w:rPr>
        <w:rFonts w:hint="default"/>
      </w:rPr>
    </w:lvl>
    <w:lvl w:ilvl="1" w:tentative="0">
      <w:start w:val="1"/>
      <w:numFmt w:val="lowerLetter"/>
      <w:lvlText w:val="%2)"/>
      <w:lvlJc w:val="left"/>
      <w:pPr>
        <w:ind w:left="1345" w:hanging="420"/>
      </w:pPr>
    </w:lvl>
    <w:lvl w:ilvl="2" w:tentative="0">
      <w:start w:val="1"/>
      <w:numFmt w:val="lowerRoman"/>
      <w:lvlText w:val="%3."/>
      <w:lvlJc w:val="right"/>
      <w:pPr>
        <w:ind w:left="1765" w:hanging="420"/>
      </w:pPr>
    </w:lvl>
    <w:lvl w:ilvl="3" w:tentative="0">
      <w:start w:val="1"/>
      <w:numFmt w:val="decimal"/>
      <w:lvlText w:val="%4."/>
      <w:lvlJc w:val="left"/>
      <w:pPr>
        <w:ind w:left="2185" w:hanging="420"/>
      </w:pPr>
    </w:lvl>
    <w:lvl w:ilvl="4" w:tentative="0">
      <w:start w:val="1"/>
      <w:numFmt w:val="lowerLetter"/>
      <w:lvlText w:val="%5)"/>
      <w:lvlJc w:val="left"/>
      <w:pPr>
        <w:ind w:left="2605" w:hanging="420"/>
      </w:pPr>
    </w:lvl>
    <w:lvl w:ilvl="5" w:tentative="0">
      <w:start w:val="1"/>
      <w:numFmt w:val="lowerRoman"/>
      <w:lvlText w:val="%6."/>
      <w:lvlJc w:val="right"/>
      <w:pPr>
        <w:ind w:left="3025" w:hanging="420"/>
      </w:pPr>
    </w:lvl>
    <w:lvl w:ilvl="6" w:tentative="0">
      <w:start w:val="1"/>
      <w:numFmt w:val="decimal"/>
      <w:lvlText w:val="%7."/>
      <w:lvlJc w:val="left"/>
      <w:pPr>
        <w:ind w:left="3445" w:hanging="420"/>
      </w:pPr>
    </w:lvl>
    <w:lvl w:ilvl="7" w:tentative="0">
      <w:start w:val="1"/>
      <w:numFmt w:val="lowerLetter"/>
      <w:lvlText w:val="%8)"/>
      <w:lvlJc w:val="left"/>
      <w:pPr>
        <w:ind w:left="3865" w:hanging="420"/>
      </w:pPr>
    </w:lvl>
    <w:lvl w:ilvl="8" w:tentative="0">
      <w:start w:val="1"/>
      <w:numFmt w:val="lowerRoman"/>
      <w:lvlText w:val="%9."/>
      <w:lvlJc w:val="right"/>
      <w:pPr>
        <w:ind w:left="4285" w:hanging="420"/>
      </w:pPr>
    </w:lvl>
  </w:abstractNum>
  <w:abstractNum w:abstractNumId="3">
    <w:nsid w:val="557C2AF5"/>
    <w:multiLevelType w:val="multilevel"/>
    <w:tmpl w:val="557C2AF5"/>
    <w:lvl w:ilvl="0" w:tentative="0">
      <w:start w:val="1"/>
      <w:numFmt w:val="decimal"/>
      <w:pStyle w:val="2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4664EEB"/>
    <w:multiLevelType w:val="multilevel"/>
    <w:tmpl w:val="74664EEB"/>
    <w:lvl w:ilvl="0" w:tentative="0">
      <w:start w:val="1"/>
      <w:numFmt w:val="japaneseCounting"/>
      <w:pStyle w:val="27"/>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07A3B"/>
    <w:rsid w:val="0002480B"/>
    <w:rsid w:val="000512D3"/>
    <w:rsid w:val="00056E03"/>
    <w:rsid w:val="000606F1"/>
    <w:rsid w:val="000909BA"/>
    <w:rsid w:val="000B6C8F"/>
    <w:rsid w:val="000C482C"/>
    <w:rsid w:val="000C73B6"/>
    <w:rsid w:val="000D4AA2"/>
    <w:rsid w:val="000E1F56"/>
    <w:rsid w:val="000F666F"/>
    <w:rsid w:val="001117EC"/>
    <w:rsid w:val="001379D8"/>
    <w:rsid w:val="001441AB"/>
    <w:rsid w:val="00153708"/>
    <w:rsid w:val="00160605"/>
    <w:rsid w:val="00192652"/>
    <w:rsid w:val="001B3206"/>
    <w:rsid w:val="001D20FE"/>
    <w:rsid w:val="001E0C5E"/>
    <w:rsid w:val="001E22DF"/>
    <w:rsid w:val="0020586B"/>
    <w:rsid w:val="00210294"/>
    <w:rsid w:val="00216C5F"/>
    <w:rsid w:val="002172C1"/>
    <w:rsid w:val="00224154"/>
    <w:rsid w:val="002276C5"/>
    <w:rsid w:val="00231022"/>
    <w:rsid w:val="00266580"/>
    <w:rsid w:val="0029495C"/>
    <w:rsid w:val="002978BA"/>
    <w:rsid w:val="002A1A2A"/>
    <w:rsid w:val="002B5A2F"/>
    <w:rsid w:val="002E08EB"/>
    <w:rsid w:val="003114F8"/>
    <w:rsid w:val="00330246"/>
    <w:rsid w:val="00334509"/>
    <w:rsid w:val="00341B58"/>
    <w:rsid w:val="00344DCA"/>
    <w:rsid w:val="00361BA1"/>
    <w:rsid w:val="00362592"/>
    <w:rsid w:val="00364D16"/>
    <w:rsid w:val="0039281A"/>
    <w:rsid w:val="003C1FC4"/>
    <w:rsid w:val="003C75FC"/>
    <w:rsid w:val="003D4CDC"/>
    <w:rsid w:val="003E3A46"/>
    <w:rsid w:val="00401A7C"/>
    <w:rsid w:val="00412957"/>
    <w:rsid w:val="00417CCE"/>
    <w:rsid w:val="00433889"/>
    <w:rsid w:val="00466A67"/>
    <w:rsid w:val="004711AC"/>
    <w:rsid w:val="0047343A"/>
    <w:rsid w:val="00482E23"/>
    <w:rsid w:val="0048798C"/>
    <w:rsid w:val="00494AA2"/>
    <w:rsid w:val="004B216E"/>
    <w:rsid w:val="004C7DEA"/>
    <w:rsid w:val="004D1112"/>
    <w:rsid w:val="00505174"/>
    <w:rsid w:val="005261CB"/>
    <w:rsid w:val="005353A9"/>
    <w:rsid w:val="00537D26"/>
    <w:rsid w:val="0055275D"/>
    <w:rsid w:val="005968B3"/>
    <w:rsid w:val="00597CAF"/>
    <w:rsid w:val="005B1C23"/>
    <w:rsid w:val="005B6BA9"/>
    <w:rsid w:val="00611246"/>
    <w:rsid w:val="00613ED1"/>
    <w:rsid w:val="00626D7F"/>
    <w:rsid w:val="00634B08"/>
    <w:rsid w:val="006722D3"/>
    <w:rsid w:val="006A5B11"/>
    <w:rsid w:val="006B145A"/>
    <w:rsid w:val="006B7A71"/>
    <w:rsid w:val="006D70EC"/>
    <w:rsid w:val="006D73AF"/>
    <w:rsid w:val="006E7197"/>
    <w:rsid w:val="006F1440"/>
    <w:rsid w:val="0070740B"/>
    <w:rsid w:val="00707437"/>
    <w:rsid w:val="007113C1"/>
    <w:rsid w:val="00721EE2"/>
    <w:rsid w:val="007A5579"/>
    <w:rsid w:val="007A5904"/>
    <w:rsid w:val="007C0BFD"/>
    <w:rsid w:val="007D4A7E"/>
    <w:rsid w:val="007E2316"/>
    <w:rsid w:val="007F37EE"/>
    <w:rsid w:val="007F78F7"/>
    <w:rsid w:val="00800EA9"/>
    <w:rsid w:val="00803B2B"/>
    <w:rsid w:val="00803D33"/>
    <w:rsid w:val="00812919"/>
    <w:rsid w:val="0085556B"/>
    <w:rsid w:val="00874C74"/>
    <w:rsid w:val="00893ACB"/>
    <w:rsid w:val="008A532F"/>
    <w:rsid w:val="008B1800"/>
    <w:rsid w:val="008E0B5B"/>
    <w:rsid w:val="008E4FB9"/>
    <w:rsid w:val="00906298"/>
    <w:rsid w:val="00906AA1"/>
    <w:rsid w:val="009332A7"/>
    <w:rsid w:val="00940E4F"/>
    <w:rsid w:val="00954336"/>
    <w:rsid w:val="009630F8"/>
    <w:rsid w:val="00964CC9"/>
    <w:rsid w:val="00966B17"/>
    <w:rsid w:val="0098137C"/>
    <w:rsid w:val="00982776"/>
    <w:rsid w:val="00982B8F"/>
    <w:rsid w:val="00987678"/>
    <w:rsid w:val="009916B1"/>
    <w:rsid w:val="009A143D"/>
    <w:rsid w:val="009A3175"/>
    <w:rsid w:val="009B0913"/>
    <w:rsid w:val="009B75B2"/>
    <w:rsid w:val="009B77F5"/>
    <w:rsid w:val="009D6827"/>
    <w:rsid w:val="009E1582"/>
    <w:rsid w:val="009F69DB"/>
    <w:rsid w:val="00A259E3"/>
    <w:rsid w:val="00A32C7C"/>
    <w:rsid w:val="00A3458B"/>
    <w:rsid w:val="00A36849"/>
    <w:rsid w:val="00A45A0C"/>
    <w:rsid w:val="00A7139C"/>
    <w:rsid w:val="00A90F2C"/>
    <w:rsid w:val="00A96D05"/>
    <w:rsid w:val="00AB4B0C"/>
    <w:rsid w:val="00AC2B04"/>
    <w:rsid w:val="00AD6D77"/>
    <w:rsid w:val="00AE25AA"/>
    <w:rsid w:val="00AF6E67"/>
    <w:rsid w:val="00B2687B"/>
    <w:rsid w:val="00B27775"/>
    <w:rsid w:val="00B31C41"/>
    <w:rsid w:val="00B61237"/>
    <w:rsid w:val="00B6564B"/>
    <w:rsid w:val="00B93639"/>
    <w:rsid w:val="00BA5404"/>
    <w:rsid w:val="00BB5DDA"/>
    <w:rsid w:val="00BB76F5"/>
    <w:rsid w:val="00BB7B25"/>
    <w:rsid w:val="00BC138A"/>
    <w:rsid w:val="00BD4DFD"/>
    <w:rsid w:val="00BF1961"/>
    <w:rsid w:val="00C157F3"/>
    <w:rsid w:val="00C451C2"/>
    <w:rsid w:val="00C53598"/>
    <w:rsid w:val="00C61BCC"/>
    <w:rsid w:val="00C827F8"/>
    <w:rsid w:val="00C85F2E"/>
    <w:rsid w:val="00C955FD"/>
    <w:rsid w:val="00C96EC0"/>
    <w:rsid w:val="00CA2AA3"/>
    <w:rsid w:val="00CA41A5"/>
    <w:rsid w:val="00CA5B30"/>
    <w:rsid w:val="00CB7EB8"/>
    <w:rsid w:val="00CC4D3B"/>
    <w:rsid w:val="00CD4D3D"/>
    <w:rsid w:val="00CF0438"/>
    <w:rsid w:val="00D063E1"/>
    <w:rsid w:val="00D13780"/>
    <w:rsid w:val="00D358B5"/>
    <w:rsid w:val="00D441ED"/>
    <w:rsid w:val="00D5295D"/>
    <w:rsid w:val="00D64197"/>
    <w:rsid w:val="00D73E8B"/>
    <w:rsid w:val="00D802E2"/>
    <w:rsid w:val="00D8255C"/>
    <w:rsid w:val="00D8739D"/>
    <w:rsid w:val="00D90B00"/>
    <w:rsid w:val="00DB220F"/>
    <w:rsid w:val="00DC1721"/>
    <w:rsid w:val="00DD0F41"/>
    <w:rsid w:val="00DF671D"/>
    <w:rsid w:val="00E10161"/>
    <w:rsid w:val="00E41663"/>
    <w:rsid w:val="00E43B41"/>
    <w:rsid w:val="00E60E80"/>
    <w:rsid w:val="00E643E8"/>
    <w:rsid w:val="00E933D9"/>
    <w:rsid w:val="00E953C2"/>
    <w:rsid w:val="00EB02D0"/>
    <w:rsid w:val="00EB0332"/>
    <w:rsid w:val="00EC65F7"/>
    <w:rsid w:val="00EE7D8E"/>
    <w:rsid w:val="00EF0605"/>
    <w:rsid w:val="00EF2897"/>
    <w:rsid w:val="00F22D23"/>
    <w:rsid w:val="00F260A3"/>
    <w:rsid w:val="00F340BE"/>
    <w:rsid w:val="00F6264F"/>
    <w:rsid w:val="00F66419"/>
    <w:rsid w:val="00F829D1"/>
    <w:rsid w:val="00F909A0"/>
    <w:rsid w:val="00F977D5"/>
    <w:rsid w:val="00FB0950"/>
    <w:rsid w:val="00FB142D"/>
    <w:rsid w:val="00FD35C6"/>
    <w:rsid w:val="00FE658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7F05527"/>
    <w:rsid w:val="091740CA"/>
    <w:rsid w:val="099A4C40"/>
    <w:rsid w:val="0B0401B9"/>
    <w:rsid w:val="0B3722E9"/>
    <w:rsid w:val="0B6F477F"/>
    <w:rsid w:val="0BE94AFA"/>
    <w:rsid w:val="0C114D3A"/>
    <w:rsid w:val="0C5305F4"/>
    <w:rsid w:val="0CE25932"/>
    <w:rsid w:val="0CF43C8A"/>
    <w:rsid w:val="0D4967B3"/>
    <w:rsid w:val="0DA87EC0"/>
    <w:rsid w:val="0E911E04"/>
    <w:rsid w:val="0ED7467F"/>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1D4BDC"/>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1E4DD6"/>
    <w:rsid w:val="31727782"/>
    <w:rsid w:val="31AE15C3"/>
    <w:rsid w:val="31E60C8B"/>
    <w:rsid w:val="31FF6CE2"/>
    <w:rsid w:val="32456CC4"/>
    <w:rsid w:val="3311445F"/>
    <w:rsid w:val="33865CDD"/>
    <w:rsid w:val="33EB7DAE"/>
    <w:rsid w:val="345E6D06"/>
    <w:rsid w:val="346F6E87"/>
    <w:rsid w:val="34AC423B"/>
    <w:rsid w:val="34D15C68"/>
    <w:rsid w:val="353A3782"/>
    <w:rsid w:val="3542414B"/>
    <w:rsid w:val="35860E50"/>
    <w:rsid w:val="35BB3EF4"/>
    <w:rsid w:val="364D65E7"/>
    <w:rsid w:val="369C4E13"/>
    <w:rsid w:val="36A8469E"/>
    <w:rsid w:val="36B1619C"/>
    <w:rsid w:val="36F84CBD"/>
    <w:rsid w:val="37DB3A0E"/>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5F6646"/>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573D91"/>
    <w:rsid w:val="54706EE3"/>
    <w:rsid w:val="54781D67"/>
    <w:rsid w:val="54BA6FAE"/>
    <w:rsid w:val="55013876"/>
    <w:rsid w:val="55297417"/>
    <w:rsid w:val="55527E49"/>
    <w:rsid w:val="555F515E"/>
    <w:rsid w:val="56B93F99"/>
    <w:rsid w:val="56C27DEF"/>
    <w:rsid w:val="56FA72B4"/>
    <w:rsid w:val="57322BDA"/>
    <w:rsid w:val="579529A0"/>
    <w:rsid w:val="58A62F16"/>
    <w:rsid w:val="58BE7A1C"/>
    <w:rsid w:val="58D74FF3"/>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6FE64BAD"/>
    <w:rsid w:val="7003626C"/>
    <w:rsid w:val="70241AA7"/>
    <w:rsid w:val="705F3713"/>
    <w:rsid w:val="707E05FA"/>
    <w:rsid w:val="73041F38"/>
    <w:rsid w:val="73222030"/>
    <w:rsid w:val="738003D8"/>
    <w:rsid w:val="76552FDB"/>
    <w:rsid w:val="76B722F6"/>
    <w:rsid w:val="76EC3085"/>
    <w:rsid w:val="77A46809"/>
    <w:rsid w:val="77EE4ADF"/>
    <w:rsid w:val="787467A0"/>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qFormat/>
    <w:uiPriority w:val="0"/>
    <w:rPr>
      <w:rFonts w:ascii="宋体"/>
      <w:sz w:val="18"/>
      <w:szCs w:val="18"/>
    </w:rPr>
  </w:style>
  <w:style w:type="paragraph" w:styleId="4">
    <w:name w:val="Balloon Text"/>
    <w:basedOn w:val="1"/>
    <w:link w:val="17"/>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styleId="12">
    <w:name w:val="List Paragraph"/>
    <w:basedOn w:val="1"/>
    <w:qFormat/>
    <w:uiPriority w:val="34"/>
    <w:pPr>
      <w:ind w:firstLine="420" w:firstLineChars="200"/>
    </w:pPr>
    <w:rPr>
      <w:szCs w:val="22"/>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rPr>
  </w:style>
  <w:style w:type="character" w:customStyle="1" w:styleId="15">
    <w:name w:val="页眉 Char"/>
    <w:basedOn w:val="10"/>
    <w:link w:val="6"/>
    <w:qFormat/>
    <w:uiPriority w:val="0"/>
    <w:rPr>
      <w:rFonts w:ascii="Times New Roman" w:hAnsi="Times New Roman"/>
      <w:kern w:val="2"/>
      <w:sz w:val="18"/>
      <w:szCs w:val="18"/>
    </w:rPr>
  </w:style>
  <w:style w:type="character" w:customStyle="1" w:styleId="16">
    <w:name w:val="页脚 Char"/>
    <w:basedOn w:val="10"/>
    <w:link w:val="5"/>
    <w:qFormat/>
    <w:uiPriority w:val="0"/>
    <w:rPr>
      <w:rFonts w:ascii="Times New Roman" w:hAnsi="Times New Roman"/>
      <w:kern w:val="2"/>
      <w:sz w:val="18"/>
      <w:szCs w:val="18"/>
    </w:rPr>
  </w:style>
  <w:style w:type="character" w:customStyle="1" w:styleId="17">
    <w:name w:val="批注框文本 Char"/>
    <w:basedOn w:val="10"/>
    <w:link w:val="4"/>
    <w:qFormat/>
    <w:uiPriority w:val="0"/>
    <w:rPr>
      <w:rFonts w:ascii="Times New Roman" w:hAnsi="Times New Roman"/>
      <w:kern w:val="2"/>
      <w:sz w:val="18"/>
      <w:szCs w:val="18"/>
    </w:rPr>
  </w:style>
  <w:style w:type="character" w:customStyle="1" w:styleId="18">
    <w:name w:val="文档结构图 Char"/>
    <w:basedOn w:val="10"/>
    <w:link w:val="3"/>
    <w:qFormat/>
    <w:uiPriority w:val="0"/>
    <w:rPr>
      <w:rFonts w:ascii="宋体"/>
      <w:kern w:val="2"/>
      <w:sz w:val="18"/>
      <w:szCs w:val="18"/>
    </w:rPr>
  </w:style>
  <w:style w:type="paragraph" w:customStyle="1" w:styleId="19">
    <w:name w:val="标准文件_二级条标题"/>
    <w:next w:val="13"/>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3"/>
    <w:qFormat/>
    <w:uiPriority w:val="0"/>
    <w:pPr>
      <w:widowControl/>
      <w:numPr>
        <w:ilvl w:val="4"/>
      </w:numPr>
      <w:outlineLvl w:val="3"/>
    </w:pPr>
  </w:style>
  <w:style w:type="paragraph" w:customStyle="1" w:styleId="21">
    <w:name w:val="标准文件_四级条标题"/>
    <w:next w:val="1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3"/>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3"/>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术语条一"/>
    <w:basedOn w:val="1"/>
    <w:next w:val="13"/>
    <w:qFormat/>
    <w:uiPriority w:val="0"/>
    <w:pPr>
      <w:widowControl/>
      <w:numPr>
        <w:ilvl w:val="2"/>
        <w:numId w:val="2"/>
      </w:numPr>
    </w:pPr>
    <w:rPr>
      <w:rFonts w:ascii="宋体"/>
      <w:kern w:val="0"/>
      <w:szCs w:val="20"/>
    </w:rPr>
  </w:style>
  <w:style w:type="paragraph" w:customStyle="1" w:styleId="2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28">
    <w:name w:val="BodyText2"/>
    <w:basedOn w:val="1"/>
    <w:qFormat/>
    <w:uiPriority w:val="0"/>
    <w:pPr>
      <w:spacing w:after="120" w:line="480" w:lineRule="auto"/>
      <w:textAlignment w:val="baseline"/>
    </w:pPr>
    <w:rPr>
      <w:rFonts w:ascii="Calibri" w:hAnsi="Calibri"/>
      <w:sz w:val="32"/>
      <w:szCs w:val="32"/>
    </w:rPr>
  </w:style>
  <w:style w:type="paragraph" w:customStyle="1" w:styleId="29">
    <w:name w:val="标准文件_正文图标题"/>
    <w:next w:val="13"/>
    <w:qFormat/>
    <w:uiPriority w:val="0"/>
    <w:pPr>
      <w:numPr>
        <w:ilvl w:val="0"/>
        <w:numId w:val="4"/>
      </w:numPr>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661</Words>
  <Characters>3774</Characters>
  <Lines>31</Lines>
  <Paragraphs>8</Paragraphs>
  <TotalTime>0</TotalTime>
  <ScaleCrop>false</ScaleCrop>
  <LinksUpToDate>false</LinksUpToDate>
  <CharactersWithSpaces>4427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Administrator</cp:lastModifiedBy>
  <dcterms:modified xsi:type="dcterms:W3CDTF">2021-05-21T00:53:27Z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AD6218D541CB4C829309ECA8E480F9EA</vt:lpwstr>
  </property>
</Properties>
</file>